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2030">
      <w:pPr>
        <w:pStyle w:val="2"/>
        <w:spacing w:before="132" w:line="223" w:lineRule="auto"/>
        <w:ind w:left="38"/>
        <w:rPr>
          <w:sz w:val="22"/>
          <w:szCs w:val="22"/>
        </w:rPr>
      </w:pPr>
      <w:r>
        <w:rPr>
          <w:color w:val="333333"/>
          <w:spacing w:val="-12"/>
          <w:sz w:val="22"/>
          <w:szCs w:val="22"/>
        </w:rPr>
        <w:t>附件</w:t>
      </w:r>
      <w:r>
        <w:rPr>
          <w:color w:val="333333"/>
          <w:spacing w:val="-33"/>
          <w:sz w:val="22"/>
          <w:szCs w:val="22"/>
        </w:rPr>
        <w:t xml:space="preserve"> </w:t>
      </w:r>
      <w:r>
        <w:rPr>
          <w:color w:val="333333"/>
          <w:spacing w:val="-12"/>
          <w:sz w:val="22"/>
          <w:szCs w:val="22"/>
        </w:rPr>
        <w:t>1：</w:t>
      </w:r>
    </w:p>
    <w:p w14:paraId="5B7E82A6">
      <w:pPr>
        <w:spacing w:before="291" w:line="334" w:lineRule="auto"/>
        <w:ind w:left="2989" w:right="315" w:hanging="1859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color w:val="333333"/>
          <w:spacing w:val="-2"/>
          <w:sz w:val="40"/>
          <w:szCs w:val="40"/>
        </w:rPr>
        <w:t>202</w:t>
      </w:r>
      <w:r>
        <w:rPr>
          <w:rFonts w:hint="eastAsia" w:ascii="黑体" w:hAnsi="黑体" w:eastAsia="黑体" w:cs="黑体"/>
          <w:color w:val="333333"/>
          <w:spacing w:val="-2"/>
          <w:sz w:val="40"/>
          <w:szCs w:val="40"/>
          <w:lang w:val="en-US" w:eastAsia="zh-CN"/>
        </w:rPr>
        <w:t>5</w:t>
      </w:r>
      <w:r>
        <w:rPr>
          <w:rFonts w:ascii="黑体" w:hAnsi="黑体" w:eastAsia="黑体" w:cs="黑体"/>
          <w:color w:val="333333"/>
          <w:spacing w:val="-2"/>
          <w:sz w:val="40"/>
          <w:szCs w:val="40"/>
        </w:rPr>
        <w:t>年西北政法大学共青团与青年工作</w:t>
      </w:r>
      <w:r>
        <w:rPr>
          <w:rFonts w:ascii="黑体" w:hAnsi="黑体" w:eastAsia="黑体" w:cs="黑体"/>
          <w:color w:val="333333"/>
          <w:sz w:val="40"/>
          <w:szCs w:val="40"/>
        </w:rPr>
        <w:t xml:space="preserve"> </w:t>
      </w:r>
      <w:r>
        <w:rPr>
          <w:rFonts w:ascii="黑体" w:hAnsi="黑体" w:eastAsia="黑体" w:cs="黑体"/>
          <w:color w:val="333333"/>
          <w:spacing w:val="-3"/>
          <w:sz w:val="40"/>
          <w:szCs w:val="40"/>
        </w:rPr>
        <w:t>专项课题选题范围</w:t>
      </w:r>
    </w:p>
    <w:p w14:paraId="5EAE6E91">
      <w:pPr>
        <w:pStyle w:val="2"/>
        <w:spacing w:before="59" w:line="221" w:lineRule="auto"/>
        <w:ind w:left="3209"/>
      </w:pPr>
      <w:r>
        <w:rPr>
          <w:spacing w:val="-3"/>
        </w:rPr>
        <w:t>一、共青团工作选题</w:t>
      </w:r>
    </w:p>
    <w:p w14:paraId="6BA2F76A">
      <w:pPr>
        <w:pStyle w:val="2"/>
        <w:spacing w:before="289" w:line="222" w:lineRule="auto"/>
        <w:ind w:left="44"/>
      </w:pPr>
      <w:r>
        <w:rPr>
          <w:spacing w:val="-2"/>
        </w:rPr>
        <w:t>1. 高校共青团思想政治引领研究</w:t>
      </w:r>
    </w:p>
    <w:p w14:paraId="118F703A">
      <w:pPr>
        <w:spacing w:line="291" w:lineRule="auto"/>
        <w:rPr>
          <w:rFonts w:ascii="Arial"/>
          <w:sz w:val="21"/>
        </w:rPr>
      </w:pPr>
    </w:p>
    <w:p w14:paraId="1DA2CF08">
      <w:pPr>
        <w:pStyle w:val="2"/>
        <w:spacing w:before="92" w:line="222" w:lineRule="auto"/>
        <w:ind w:left="27"/>
      </w:pPr>
      <w:r>
        <w:rPr>
          <w:spacing w:val="-1"/>
        </w:rPr>
        <w:t>2. 共青团改革背景下高校第二课堂成绩单制度研究</w:t>
      </w:r>
    </w:p>
    <w:p w14:paraId="076D1ADD">
      <w:pPr>
        <w:spacing w:line="296" w:lineRule="auto"/>
        <w:rPr>
          <w:rFonts w:ascii="Arial"/>
          <w:sz w:val="21"/>
        </w:rPr>
      </w:pPr>
    </w:p>
    <w:p w14:paraId="1EF06A66">
      <w:pPr>
        <w:pStyle w:val="2"/>
        <w:spacing w:before="91" w:line="220" w:lineRule="auto"/>
        <w:ind w:left="29"/>
      </w:pPr>
      <w:r>
        <w:rPr>
          <w:spacing w:val="-2"/>
        </w:rPr>
        <w:t>3. “枫桥经验</w:t>
      </w:r>
      <w:r>
        <w:rPr>
          <w:spacing w:val="-101"/>
        </w:rPr>
        <w:t xml:space="preserve"> </w:t>
      </w:r>
      <w:r>
        <w:rPr>
          <w:spacing w:val="-2"/>
        </w:rPr>
        <w:t>”在我校共青团工作中的创新实践研究</w:t>
      </w:r>
    </w:p>
    <w:p w14:paraId="2A85B0D4">
      <w:pPr>
        <w:spacing w:line="298" w:lineRule="auto"/>
        <w:rPr>
          <w:rFonts w:ascii="Arial"/>
          <w:sz w:val="21"/>
        </w:rPr>
      </w:pPr>
    </w:p>
    <w:p w14:paraId="2274D92C">
      <w:pPr>
        <w:pStyle w:val="2"/>
        <w:spacing w:before="91" w:line="222" w:lineRule="auto"/>
        <w:ind w:left="22"/>
      </w:pPr>
      <w:r>
        <w:rPr>
          <w:spacing w:val="-1"/>
        </w:rPr>
        <w:t>4. 共青团改革背景下高校两级学生会发展研究</w:t>
      </w:r>
    </w:p>
    <w:p w14:paraId="2C19432C">
      <w:pPr>
        <w:spacing w:line="292" w:lineRule="auto"/>
        <w:rPr>
          <w:rFonts w:ascii="Arial"/>
          <w:sz w:val="21"/>
        </w:rPr>
      </w:pPr>
    </w:p>
    <w:p w14:paraId="2B685AB3">
      <w:pPr>
        <w:pStyle w:val="2"/>
        <w:spacing w:before="92" w:line="220" w:lineRule="auto"/>
        <w:ind w:left="29"/>
      </w:pPr>
      <w:r>
        <w:rPr>
          <w:spacing w:val="-1"/>
        </w:rPr>
        <w:t>5. 高校共青团在大学生创新创业服务中的作用与路径研究</w:t>
      </w:r>
    </w:p>
    <w:p w14:paraId="7B37B4FA">
      <w:pPr>
        <w:spacing w:line="297" w:lineRule="auto"/>
        <w:rPr>
          <w:rFonts w:ascii="Arial"/>
          <w:sz w:val="21"/>
        </w:rPr>
      </w:pPr>
    </w:p>
    <w:p w14:paraId="7B1EFF05">
      <w:pPr>
        <w:pStyle w:val="2"/>
        <w:spacing w:before="92" w:line="221" w:lineRule="auto"/>
        <w:ind w:left="26"/>
      </w:pPr>
      <w:r>
        <w:rPr>
          <w:spacing w:val="-1"/>
        </w:rPr>
        <w:t>6. 高校共青团项目化工作的长效机制研究</w:t>
      </w:r>
    </w:p>
    <w:p w14:paraId="0F264362">
      <w:pPr>
        <w:spacing w:line="296" w:lineRule="auto"/>
        <w:rPr>
          <w:rFonts w:ascii="Arial"/>
          <w:sz w:val="21"/>
        </w:rPr>
      </w:pPr>
    </w:p>
    <w:p w14:paraId="6CA27E95">
      <w:pPr>
        <w:pStyle w:val="2"/>
        <w:spacing w:before="92" w:line="221" w:lineRule="auto"/>
        <w:ind w:left="30"/>
      </w:pPr>
      <w:r>
        <w:rPr>
          <w:spacing w:val="-1"/>
        </w:rPr>
        <w:t>7. 加强新时代共青团青年意识形态工作能力研究</w:t>
      </w:r>
    </w:p>
    <w:p w14:paraId="71328901">
      <w:pPr>
        <w:spacing w:line="295" w:lineRule="auto"/>
        <w:rPr>
          <w:rFonts w:ascii="Arial"/>
          <w:sz w:val="21"/>
        </w:rPr>
      </w:pPr>
    </w:p>
    <w:p w14:paraId="7A884C64">
      <w:pPr>
        <w:pStyle w:val="2"/>
        <w:spacing w:before="91" w:line="222" w:lineRule="auto"/>
        <w:ind w:left="25"/>
      </w:pPr>
      <w:r>
        <w:rPr>
          <w:spacing w:val="-3"/>
        </w:rPr>
        <w:t>8.</w:t>
      </w:r>
      <w:r>
        <w:rPr>
          <w:spacing w:val="-23"/>
        </w:rPr>
        <w:t xml:space="preserve"> </w:t>
      </w:r>
      <w:r>
        <w:rPr>
          <w:spacing w:val="-3"/>
        </w:rPr>
        <w:t>高校社团高质量发展的路径研究</w:t>
      </w:r>
    </w:p>
    <w:p w14:paraId="17484712">
      <w:pPr>
        <w:spacing w:line="294" w:lineRule="auto"/>
        <w:rPr>
          <w:rFonts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</w:pPr>
    </w:p>
    <w:p w14:paraId="1D05E279">
      <w:pPr>
        <w:pStyle w:val="2"/>
        <w:numPr>
          <w:ilvl w:val="0"/>
          <w:numId w:val="1"/>
        </w:numPr>
        <w:spacing w:before="91" w:line="221" w:lineRule="auto"/>
        <w:ind w:left="25"/>
        <w:rPr>
          <w:rFonts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高校志愿服务工作模式创新研究</w:t>
      </w:r>
    </w:p>
    <w:p w14:paraId="05EF734A">
      <w:pPr>
        <w:spacing w:line="247" w:lineRule="auto"/>
        <w:rPr>
          <w:rFonts w:ascii="Arial"/>
          <w:sz w:val="21"/>
        </w:rPr>
      </w:pPr>
    </w:p>
    <w:p w14:paraId="6806055F">
      <w:pPr>
        <w:spacing w:line="248" w:lineRule="auto"/>
        <w:rPr>
          <w:rFonts w:ascii="Arial"/>
          <w:sz w:val="21"/>
        </w:rPr>
      </w:pPr>
    </w:p>
    <w:p w14:paraId="26412D0D">
      <w:pPr>
        <w:spacing w:line="248" w:lineRule="auto"/>
        <w:rPr>
          <w:rFonts w:ascii="Arial"/>
          <w:sz w:val="21"/>
        </w:rPr>
      </w:pPr>
    </w:p>
    <w:p w14:paraId="5BBCA01A">
      <w:pPr>
        <w:spacing w:line="248" w:lineRule="auto"/>
        <w:rPr>
          <w:rFonts w:ascii="Arial"/>
          <w:sz w:val="21"/>
        </w:rPr>
      </w:pPr>
    </w:p>
    <w:p w14:paraId="1123786A">
      <w:pPr>
        <w:spacing w:line="248" w:lineRule="auto"/>
        <w:rPr>
          <w:rFonts w:ascii="Arial"/>
          <w:sz w:val="21"/>
        </w:rPr>
      </w:pPr>
    </w:p>
    <w:p w14:paraId="3473EC4B">
      <w:pPr>
        <w:spacing w:line="248" w:lineRule="auto"/>
        <w:rPr>
          <w:rFonts w:ascii="Arial"/>
          <w:sz w:val="21"/>
        </w:rPr>
      </w:pPr>
    </w:p>
    <w:p w14:paraId="26BA00E6">
      <w:pPr>
        <w:spacing w:line="248" w:lineRule="auto"/>
        <w:rPr>
          <w:rFonts w:ascii="Arial"/>
          <w:sz w:val="21"/>
        </w:rPr>
      </w:pPr>
    </w:p>
    <w:p w14:paraId="71AEDDA3">
      <w:pPr>
        <w:pStyle w:val="2"/>
        <w:spacing w:before="91" w:line="221" w:lineRule="auto"/>
        <w:ind w:left="3353"/>
      </w:pPr>
      <w:r>
        <w:rPr>
          <w:spacing w:val="-4"/>
        </w:rPr>
        <w:t>二、青年工作选题</w:t>
      </w:r>
    </w:p>
    <w:p w14:paraId="1227467A">
      <w:pPr>
        <w:pStyle w:val="2"/>
        <w:spacing w:before="290" w:line="222" w:lineRule="auto"/>
        <w:ind w:left="44"/>
      </w:pPr>
      <w:r>
        <w:rPr>
          <w:spacing w:val="-5"/>
        </w:rPr>
        <w:t>1.</w:t>
      </w:r>
      <w:r>
        <w:rPr>
          <w:spacing w:val="63"/>
        </w:rPr>
        <w:t xml:space="preserve"> </w:t>
      </w:r>
      <w:r>
        <w:rPr>
          <w:spacing w:val="-5"/>
        </w:rPr>
        <w:t>习近平新时代中国特色社会主义思想的“青年化</w:t>
      </w:r>
      <w:r>
        <w:rPr>
          <w:spacing w:val="-103"/>
        </w:rPr>
        <w:t xml:space="preserve"> </w:t>
      </w:r>
      <w:r>
        <w:rPr>
          <w:spacing w:val="-5"/>
        </w:rPr>
        <w:t>”阐释</w:t>
      </w:r>
    </w:p>
    <w:p w14:paraId="076D7BE2">
      <w:pPr>
        <w:spacing w:line="295" w:lineRule="auto"/>
        <w:rPr>
          <w:rFonts w:ascii="Arial"/>
          <w:sz w:val="21"/>
        </w:rPr>
      </w:pPr>
    </w:p>
    <w:p w14:paraId="3717D005">
      <w:pPr>
        <w:pStyle w:val="2"/>
        <w:spacing w:before="91" w:line="220" w:lineRule="auto"/>
        <w:ind w:left="27"/>
      </w:pPr>
      <w:r>
        <w:rPr>
          <w:spacing w:val="-1"/>
        </w:rPr>
        <w:t>2. 提升大学生校园文化活动外在影响力研究</w:t>
      </w:r>
    </w:p>
    <w:p w14:paraId="6261F681">
      <w:pPr>
        <w:spacing w:line="296" w:lineRule="auto"/>
        <w:rPr>
          <w:rFonts w:ascii="Arial"/>
          <w:sz w:val="21"/>
        </w:rPr>
      </w:pPr>
    </w:p>
    <w:p w14:paraId="32B78522">
      <w:pPr>
        <w:pStyle w:val="2"/>
        <w:spacing w:before="91" w:line="222" w:lineRule="auto"/>
        <w:ind w:left="29"/>
      </w:pPr>
      <w:r>
        <w:rPr>
          <w:spacing w:val="-1"/>
        </w:rPr>
        <w:t>3. 大数据时代面向青年的政治信息传播规律研究</w:t>
      </w:r>
    </w:p>
    <w:p w14:paraId="48DCC53E">
      <w:pPr>
        <w:spacing w:line="294" w:lineRule="auto"/>
        <w:rPr>
          <w:rFonts w:ascii="Arial"/>
          <w:sz w:val="21"/>
        </w:rPr>
      </w:pPr>
    </w:p>
    <w:p w14:paraId="32E1C74A">
      <w:pPr>
        <w:pStyle w:val="2"/>
        <w:spacing w:before="92" w:line="223" w:lineRule="auto"/>
        <w:ind w:left="22"/>
      </w:pPr>
      <w:r>
        <w:rPr>
          <w:spacing w:val="-1"/>
        </w:rPr>
        <w:t>4. 青年传承红色基因的机理和路径研究</w:t>
      </w:r>
    </w:p>
    <w:p w14:paraId="32D11D27">
      <w:pPr>
        <w:spacing w:line="223" w:lineRule="auto"/>
        <w:sectPr>
          <w:footerReference r:id="rId5" w:type="default"/>
          <w:pgSz w:w="11906" w:h="16839"/>
          <w:pgMar w:top="1431" w:right="1785" w:bottom="1181" w:left="1785" w:header="0" w:footer="910" w:gutter="0"/>
          <w:cols w:space="720" w:num="1"/>
        </w:sectPr>
      </w:pPr>
    </w:p>
    <w:p w14:paraId="42FEACCE">
      <w:pPr>
        <w:pStyle w:val="2"/>
        <w:spacing w:before="132" w:line="223" w:lineRule="auto"/>
        <w:ind w:left="38"/>
        <w:rPr>
          <w:color w:val="333333"/>
          <w:spacing w:val="-12"/>
          <w:sz w:val="22"/>
          <w:szCs w:val="22"/>
        </w:rPr>
      </w:pPr>
    </w:p>
    <w:p w14:paraId="1A545971">
      <w:pPr>
        <w:pStyle w:val="2"/>
        <w:spacing w:before="132" w:line="223" w:lineRule="auto"/>
        <w:ind w:left="38"/>
        <w:rPr>
          <w:color w:val="333333"/>
          <w:spacing w:val="-12"/>
          <w:sz w:val="22"/>
          <w:szCs w:val="22"/>
        </w:rPr>
      </w:pPr>
    </w:p>
    <w:p w14:paraId="3FF92ADE">
      <w:pPr>
        <w:pStyle w:val="2"/>
        <w:spacing w:before="132" w:line="223" w:lineRule="auto"/>
        <w:ind w:left="38"/>
        <w:rPr>
          <w:color w:val="333333"/>
          <w:spacing w:val="-12"/>
          <w:sz w:val="22"/>
          <w:szCs w:val="22"/>
        </w:rPr>
      </w:pPr>
    </w:p>
    <w:p w14:paraId="735AB9D3">
      <w:pPr>
        <w:pStyle w:val="2"/>
        <w:spacing w:before="180" w:line="222" w:lineRule="auto"/>
        <w:ind w:left="29"/>
      </w:pPr>
      <w:r>
        <w:rPr>
          <w:spacing w:val="-2"/>
        </w:rPr>
        <w:t>5.“大思政</w:t>
      </w:r>
      <w:r>
        <w:rPr>
          <w:spacing w:val="-103"/>
        </w:rPr>
        <w:t xml:space="preserve"> </w:t>
      </w:r>
      <w:r>
        <w:rPr>
          <w:spacing w:val="-2"/>
        </w:rPr>
        <w:t>”视阈下高校青马工程人才培养指标体系探索</w:t>
      </w:r>
    </w:p>
    <w:p w14:paraId="330858BC">
      <w:pPr>
        <w:spacing w:line="293" w:lineRule="auto"/>
        <w:rPr>
          <w:rFonts w:ascii="Arial"/>
          <w:sz w:val="21"/>
        </w:rPr>
      </w:pPr>
    </w:p>
    <w:p w14:paraId="4C272168">
      <w:pPr>
        <w:pStyle w:val="2"/>
        <w:spacing w:before="91" w:line="222" w:lineRule="auto"/>
        <w:ind w:left="26"/>
      </w:pPr>
      <w:r>
        <w:rPr>
          <w:spacing w:val="-1"/>
        </w:rPr>
        <w:t>6. 高校共青团干部队伍发展研究</w:t>
      </w:r>
    </w:p>
    <w:p w14:paraId="57675E63">
      <w:pPr>
        <w:spacing w:line="294" w:lineRule="auto"/>
        <w:rPr>
          <w:rFonts w:ascii="Arial"/>
          <w:sz w:val="21"/>
        </w:rPr>
      </w:pPr>
    </w:p>
    <w:p w14:paraId="5264795D">
      <w:pPr>
        <w:pStyle w:val="2"/>
        <w:spacing w:before="91" w:line="222" w:lineRule="auto"/>
        <w:ind w:left="30"/>
      </w:pPr>
      <w:r>
        <w:rPr>
          <w:spacing w:val="-1"/>
        </w:rPr>
        <w:t>7.高校志愿服务组织与校外志愿服务平台协同发展路径及策略研究</w:t>
      </w:r>
    </w:p>
    <w:p w14:paraId="48946474">
      <w:pPr>
        <w:spacing w:line="295" w:lineRule="auto"/>
        <w:rPr>
          <w:rFonts w:ascii="Arial"/>
          <w:sz w:val="21"/>
        </w:rPr>
      </w:pPr>
    </w:p>
    <w:p w14:paraId="614E87F1">
      <w:pPr>
        <w:pStyle w:val="2"/>
        <w:numPr>
          <w:ilvl w:val="0"/>
          <w:numId w:val="2"/>
        </w:numPr>
        <w:spacing w:before="91" w:line="222" w:lineRule="auto"/>
        <w:ind w:left="25"/>
        <w:rPr>
          <w:rFonts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</w:pPr>
      <w:r>
        <w:rPr>
          <w:spacing w:val="-1"/>
        </w:rPr>
        <w:t>青年大学生婚恋观研究</w:t>
      </w:r>
    </w:p>
    <w:p w14:paraId="5A6A1EB1">
      <w:pPr>
        <w:pStyle w:val="2"/>
        <w:numPr>
          <w:ilvl w:val="0"/>
          <w:numId w:val="2"/>
        </w:numPr>
        <w:spacing w:before="91" w:line="222" w:lineRule="auto"/>
        <w:ind w:left="25"/>
        <w:sectPr>
          <w:footerReference r:id="rId6" w:type="default"/>
          <w:pgSz w:w="11906" w:h="16839"/>
          <w:pgMar w:top="1431" w:right="1785" w:bottom="1181" w:left="1785" w:header="0" w:footer="912" w:gutter="0"/>
          <w:cols w:space="720" w:num="1"/>
        </w:sect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政法类院校</w:t>
      </w:r>
      <w:r>
        <w:rPr>
          <w:rFonts w:hint="eastAsia" w:cs="仿宋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青年思政教育路径、机制、效能研究</w:t>
      </w:r>
    </w:p>
    <w:p w14:paraId="451DE1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3C86F">
    <w:pPr>
      <w:ind w:left="38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—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4</w:t>
    </w:r>
    <w:r>
      <w:rPr>
        <w:rFonts w:ascii="宋体" w:hAnsi="宋体" w:eastAsia="宋体" w:cs="宋体"/>
        <w:spacing w:val="14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69DB">
    <w:pPr>
      <w:spacing w:line="239" w:lineRule="auto"/>
      <w:ind w:left="38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—</w:t>
    </w:r>
    <w:r>
      <w:rPr>
        <w:rFonts w:ascii="宋体" w:hAnsi="宋体" w:eastAsia="宋体" w:cs="宋体"/>
        <w:spacing w:val="17"/>
        <w:sz w:val="20"/>
        <w:szCs w:val="20"/>
      </w:rPr>
      <w:t xml:space="preserve"> </w:t>
    </w:r>
    <w:r>
      <w:rPr>
        <w:rFonts w:ascii="宋体" w:hAnsi="宋体" w:eastAsia="宋体" w:cs="宋体"/>
        <w:spacing w:val="-1"/>
        <w:sz w:val="20"/>
        <w:szCs w:val="20"/>
      </w:rPr>
      <w:t>5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1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12021"/>
    <w:multiLevelType w:val="singleLevel"/>
    <w:tmpl w:val="B8912021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E4B23124"/>
    <w:multiLevelType w:val="singleLevel"/>
    <w:tmpl w:val="E4B23124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47CC"/>
    <w:rsid w:val="6C87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2025-09-05T03:08:00Z</dcterms:created>
  <dc:creator>赵欣辰</dc:creator>
  <cp:lastModifiedBy>赵欣辰</cp:lastModifiedBy>
  <dcterms:modified xsi:type="dcterms:W3CDTF">2025-09-05T03:11:21Z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06AA396E7B67407688C320E946EC34D4_11</vt:lpwstr>
  </property>
  <property fmtid="{D5CDD505-2E9C-101B-9397-08002B2CF9AE}" pid="4" name="KSOTemplateDocerSaveRecord">
    <vt:lpwstr>eyJoZGlkIjoiNDQ2YzQ5MDY4ZmE5ODYwM2U3OWE2NTRmN2E2MmMwZjcifQ==</vt:lpwstr>
  </property>
</Properties>
</file>