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DC4D0">
      <w:pPr>
        <w:keepNext w:val="0"/>
        <w:keepLines w:val="0"/>
        <w:pageBreakBefore w:val="0"/>
        <w:wordWrap/>
        <w:overflowPunct w:val="0"/>
        <w:topLinePunct w:val="0"/>
        <w:bidi w:val="0"/>
        <w:spacing w:line="261"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 1</w:t>
      </w:r>
    </w:p>
    <w:p w14:paraId="45ABDEC0">
      <w:pPr>
        <w:keepNext w:val="0"/>
        <w:keepLines w:val="0"/>
        <w:pageBreakBefore w:val="0"/>
        <w:wordWrap/>
        <w:overflowPunct w:val="0"/>
        <w:topLinePunct w:val="0"/>
        <w:bidi w:val="0"/>
        <w:spacing w:line="261" w:lineRule="auto"/>
        <w:rPr>
          <w:rFonts w:hint="default" w:ascii="Times New Roman" w:hAnsi="Times New Roman" w:cs="Times New Roman"/>
          <w:sz w:val="21"/>
        </w:rPr>
      </w:pPr>
    </w:p>
    <w:p w14:paraId="0001C5EB">
      <w:pPr>
        <w:keepNext w:val="0"/>
        <w:keepLines w:val="0"/>
        <w:pageBreakBefore w:val="0"/>
        <w:wordWrap/>
        <w:overflowPunct w:val="0"/>
        <w:topLinePunct w:val="0"/>
        <w:bidi w:val="0"/>
        <w:spacing w:line="261" w:lineRule="auto"/>
        <w:jc w:val="center"/>
        <w:rPr>
          <w:rFonts w:hint="default" w:ascii="Times New Roman" w:hAnsi="Times New Roman" w:eastAsia="方正小标宋简体" w:cs="Times New Roman"/>
          <w:sz w:val="44"/>
          <w:szCs w:val="44"/>
        </w:rPr>
      </w:pPr>
    </w:p>
    <w:p w14:paraId="241F781F">
      <w:pPr>
        <w:keepNext w:val="0"/>
        <w:keepLines w:val="0"/>
        <w:pageBreakBefore w:val="0"/>
        <w:wordWrap/>
        <w:overflowPunct w:val="0"/>
        <w:topLinePunct w:val="0"/>
        <w:bidi w:val="0"/>
        <w:spacing w:line="261" w:lineRule="auto"/>
        <w:jc w:val="center"/>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w:t>
      </w:r>
      <w:r>
        <w:rPr>
          <w:rFonts w:hint="default" w:ascii="Times New Roman" w:hAnsi="Times New Roman" w:eastAsia="方正小标宋简体" w:cs="Times New Roman"/>
          <w:sz w:val="44"/>
          <w:szCs w:val="44"/>
          <w:lang w:val="en-US" w:eastAsia="zh-CN"/>
        </w:rPr>
        <w:t>陕西</w:t>
      </w:r>
      <w:r>
        <w:rPr>
          <w:rFonts w:hint="default" w:ascii="Times New Roman" w:hAnsi="Times New Roman" w:eastAsia="方正小标宋简体" w:cs="Times New Roman"/>
          <w:sz w:val="44"/>
          <w:szCs w:val="44"/>
        </w:rPr>
        <w:t>省法学会</w:t>
      </w:r>
      <w:r>
        <w:rPr>
          <w:rFonts w:hint="default" w:ascii="Times New Roman" w:hAnsi="Times New Roman" w:eastAsia="方正小标宋简体" w:cs="Times New Roman"/>
          <w:sz w:val="44"/>
          <w:szCs w:val="44"/>
          <w:lang w:val="en-US" w:eastAsia="zh-CN"/>
        </w:rPr>
        <w:t>重点</w:t>
      </w:r>
      <w:r>
        <w:rPr>
          <w:rFonts w:hint="default" w:ascii="Times New Roman" w:hAnsi="Times New Roman" w:eastAsia="方正小标宋简体" w:cs="Times New Roman"/>
          <w:sz w:val="44"/>
          <w:szCs w:val="44"/>
        </w:rPr>
        <w:t>课题指南</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二</w:t>
      </w:r>
      <w:r>
        <w:rPr>
          <w:rFonts w:hint="eastAsia" w:ascii="Times New Roman" w:hAnsi="Times New Roman" w:eastAsia="方正小标宋简体" w:cs="Times New Roman"/>
          <w:sz w:val="44"/>
          <w:szCs w:val="44"/>
          <w:lang w:eastAsia="zh-CN"/>
        </w:rPr>
        <w:t>）</w:t>
      </w:r>
    </w:p>
    <w:p w14:paraId="0192E8AB">
      <w:pPr>
        <w:keepNext w:val="0"/>
        <w:keepLines w:val="0"/>
        <w:pageBreakBefore w:val="0"/>
        <w:wordWrap/>
        <w:overflowPunct w:val="0"/>
        <w:topLinePunct w:val="0"/>
        <w:bidi w:val="0"/>
        <w:spacing w:line="261" w:lineRule="auto"/>
        <w:jc w:val="center"/>
        <w:rPr>
          <w:rFonts w:hint="default" w:ascii="Times New Roman" w:hAnsi="Times New Roman" w:eastAsia="方正小标宋简体" w:cs="Times New Roman"/>
          <w:sz w:val="44"/>
          <w:szCs w:val="44"/>
        </w:rPr>
      </w:pPr>
    </w:p>
    <w:p w14:paraId="765F5500">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highlight w:val="none"/>
        </w:rPr>
        <w:t>1.</w:t>
      </w:r>
      <w:r>
        <w:rPr>
          <w:rFonts w:hint="default" w:ascii="Times New Roman" w:hAnsi="Times New Roman" w:eastAsia="仿宋_GB2312" w:cs="Times New Roman"/>
          <w:sz w:val="32"/>
          <w:szCs w:val="32"/>
        </w:rPr>
        <w:t>民事检察调查核实权研究</w:t>
      </w:r>
    </w:p>
    <w:p w14:paraId="46EC2328">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行政违法行为检察监督路径研究</w:t>
      </w:r>
    </w:p>
    <w:p w14:paraId="59D6069A">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生态环境检察融合履职问题研究</w:t>
      </w:r>
    </w:p>
    <w:p w14:paraId="6BBF8387">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科技型中小企业商业秘密检察保护机制研究</w:t>
      </w:r>
      <w:r>
        <w:rPr>
          <w:rFonts w:hint="default" w:ascii="Times New Roman" w:hAnsi="Times New Roman" w:eastAsia="仿宋_GB2312" w:cs="Times New Roman"/>
          <w:sz w:val="32"/>
          <w:szCs w:val="32"/>
        </w:rPr>
        <w:tab/>
      </w:r>
    </w:p>
    <w:p w14:paraId="1BAB50A3">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未成年人轻罪刑罚执行与精准帮教的机制衔接研究</w:t>
      </w:r>
    </w:p>
    <w:p w14:paraId="4815315C">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新时代网络生态治理司法保障研究</w:t>
      </w:r>
    </w:p>
    <w:p w14:paraId="4263CA0C">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校园欺凌防治的法治路径优化研究</w:t>
      </w:r>
    </w:p>
    <w:p w14:paraId="46E37AAD">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陕西非法集资新态势下的地方金融风险治理法治路径研究</w:t>
      </w:r>
    </w:p>
    <w:p w14:paraId="7CA7F9FD">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算力融资制度法律问题研究</w:t>
      </w:r>
    </w:p>
    <w:p w14:paraId="6FDFB63A">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陕西省罪错未成年人专门学校制度研究</w:t>
      </w:r>
    </w:p>
    <w:p w14:paraId="77226C6D">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生物医学临床应用监管的立法问题研究</w:t>
      </w:r>
    </w:p>
    <w:p w14:paraId="66C5B102">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中国古代德法共治的法律文化对推动法治建设的启示与借鉴研究</w:t>
      </w:r>
    </w:p>
    <w:p w14:paraId="17C75C6A">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陕西省农村地区道路交通安全依法治理研究</w:t>
      </w:r>
    </w:p>
    <w:p w14:paraId="0E1AC17C">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刑事检察视角下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甘棠决讼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的时代转化及实践路径研究</w:t>
      </w:r>
    </w:p>
    <w:p w14:paraId="340AFB83">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产业赋能导向下生成式人工智能训练语料的版权法规制研究</w:t>
      </w:r>
    </w:p>
    <w:p w14:paraId="61B3F8D8">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行政争议实质性化解融入县域社会治理的路径探究</w:t>
      </w:r>
    </w:p>
    <w:p w14:paraId="5970090D">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w w:val="92"/>
          <w:sz w:val="32"/>
          <w:szCs w:val="32"/>
        </w:rPr>
      </w:pP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w w:val="92"/>
          <w:sz w:val="32"/>
          <w:szCs w:val="32"/>
          <w:lang w:eastAsia="zh-CN"/>
        </w:rPr>
        <w:t>“</w:t>
      </w:r>
      <w:r>
        <w:rPr>
          <w:rFonts w:hint="default" w:ascii="Times New Roman" w:hAnsi="Times New Roman" w:eastAsia="仿宋_GB2312" w:cs="Times New Roman"/>
          <w:w w:val="92"/>
          <w:sz w:val="32"/>
          <w:szCs w:val="32"/>
        </w:rPr>
        <w:t>三治融合</w:t>
      </w:r>
      <w:r>
        <w:rPr>
          <w:rFonts w:hint="eastAsia" w:ascii="Times New Roman" w:hAnsi="Times New Roman" w:eastAsia="仿宋_GB2312" w:cs="Times New Roman"/>
          <w:w w:val="92"/>
          <w:sz w:val="32"/>
          <w:szCs w:val="32"/>
          <w:lang w:eastAsia="zh-CN"/>
        </w:rPr>
        <w:t>”</w:t>
      </w:r>
      <w:r>
        <w:rPr>
          <w:rFonts w:hint="default" w:ascii="Times New Roman" w:hAnsi="Times New Roman" w:eastAsia="仿宋_GB2312" w:cs="Times New Roman"/>
          <w:w w:val="92"/>
          <w:sz w:val="32"/>
          <w:szCs w:val="32"/>
        </w:rPr>
        <w:t>视角下基层矛盾纠纷</w:t>
      </w:r>
      <w:r>
        <w:rPr>
          <w:rFonts w:hint="eastAsia" w:ascii="Times New Roman" w:hAnsi="Times New Roman" w:eastAsia="仿宋_GB2312" w:cs="Times New Roman"/>
          <w:w w:val="92"/>
          <w:sz w:val="32"/>
          <w:szCs w:val="32"/>
          <w:lang w:eastAsia="zh-CN"/>
        </w:rPr>
        <w:t>“</w:t>
      </w:r>
      <w:r>
        <w:rPr>
          <w:rFonts w:hint="default" w:ascii="Times New Roman" w:hAnsi="Times New Roman" w:eastAsia="仿宋_GB2312" w:cs="Times New Roman"/>
          <w:w w:val="92"/>
          <w:sz w:val="32"/>
          <w:szCs w:val="32"/>
        </w:rPr>
        <w:t>柔性化解</w:t>
      </w:r>
      <w:r>
        <w:rPr>
          <w:rFonts w:hint="eastAsia" w:ascii="Times New Roman" w:hAnsi="Times New Roman" w:eastAsia="仿宋_GB2312" w:cs="Times New Roman"/>
          <w:w w:val="92"/>
          <w:sz w:val="32"/>
          <w:szCs w:val="32"/>
          <w:lang w:eastAsia="zh-CN"/>
        </w:rPr>
        <w:t>”</w:t>
      </w:r>
      <w:r>
        <w:rPr>
          <w:rFonts w:hint="default" w:ascii="Times New Roman" w:hAnsi="Times New Roman" w:eastAsia="仿宋_GB2312" w:cs="Times New Roman"/>
          <w:w w:val="92"/>
          <w:sz w:val="32"/>
          <w:szCs w:val="32"/>
        </w:rPr>
        <w:t>的法治指引研究</w:t>
      </w:r>
    </w:p>
    <w:p w14:paraId="7EAC1416">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民转刑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命案防控相关问题调查研究</w:t>
      </w:r>
    </w:p>
    <w:p w14:paraId="5301D98E">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19</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法学会基层法律服务站点运行现状研究</w:t>
      </w:r>
    </w:p>
    <w:p w14:paraId="0FFA0BC6">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数字化转型背景下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马锡五审判方式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的传承与创新研究</w:t>
      </w:r>
    </w:p>
    <w:p w14:paraId="36E6782D">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公安执法中正当防卫制度的适用研究</w:t>
      </w:r>
    </w:p>
    <w:p w14:paraId="0901B915">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检察机关参与矛盾纠纷源头治理的角色定位及实践路径研究</w:t>
      </w:r>
    </w:p>
    <w:p w14:paraId="5977BAC2">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老年人权益保障检察公益诉讼的实践路径研究</w:t>
      </w:r>
    </w:p>
    <w:p w14:paraId="16B6D8DC">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红色文化数字化传播的知识产权保护研究</w:t>
      </w:r>
    </w:p>
    <w:p w14:paraId="6785C33E">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一带一路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数字人民币法律框架的治理模式创新研究</w:t>
      </w:r>
    </w:p>
    <w:p w14:paraId="7D2CABEB">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民营企业内部人员背信犯罪的治理对策研究</w:t>
      </w:r>
    </w:p>
    <w:p w14:paraId="7437964F">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秦创原中小企业金融创新的法治保障研究</w:t>
      </w:r>
    </w:p>
    <w:p w14:paraId="1E2743D0">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陕西非物质文化遗产商业化开发的法律保障与规制研究</w:t>
      </w:r>
    </w:p>
    <w:p w14:paraId="22E83EDF">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商鞅</w:t>
      </w:r>
      <w:r>
        <w:rPr>
          <w:rFonts w:hint="default" w:ascii="Times New Roman" w:hAnsi="Times New Roman" w:eastAsia="仿宋_GB2312" w:cs="Times New Roman"/>
          <w:color w:val="auto"/>
          <w:sz w:val="32"/>
          <w:szCs w:val="32"/>
        </w:rPr>
        <w:t>法治文化对现代基层社会治理的借鉴启示研究</w:t>
      </w:r>
    </w:p>
    <w:p w14:paraId="635713A2">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法治化视野下涉法涉诉信访问题的源头治理与多元化解机制研究</w:t>
      </w:r>
    </w:p>
    <w:p w14:paraId="067D51DB">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西北地区粮食安全法治保障体系研究</w:t>
      </w:r>
    </w:p>
    <w:p w14:paraId="680FC028">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32</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抗日战争胜利后至五四宪法实施前陕西法院现存司法档案整理与研究</w:t>
      </w:r>
    </w:p>
    <w:p w14:paraId="1940834D">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秦岭林业碳汇交易与生态服务功能损失赔偿机制研究</w:t>
      </w:r>
    </w:p>
    <w:p w14:paraId="4BA58E69">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color w:val="auto"/>
          <w:w w:val="95"/>
          <w:sz w:val="32"/>
          <w:szCs w:val="32"/>
        </w:rPr>
      </w:pPr>
      <w:r>
        <w:rPr>
          <w:rFonts w:hint="default" w:ascii="Times New Roman" w:hAnsi="Times New Roman" w:eastAsia="仿宋_GB2312" w:cs="Times New Roman"/>
          <w:color w:val="auto"/>
          <w:sz w:val="32"/>
          <w:szCs w:val="32"/>
        </w:rPr>
        <w:t>34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w w:val="95"/>
          <w:sz w:val="32"/>
          <w:szCs w:val="32"/>
        </w:rPr>
        <w:t>陕西省</w:t>
      </w:r>
      <w:r>
        <w:rPr>
          <w:rFonts w:hint="eastAsia" w:ascii="Times New Roman" w:hAnsi="Times New Roman" w:eastAsia="仿宋_GB2312" w:cs="Times New Roman"/>
          <w:color w:val="auto"/>
          <w:w w:val="95"/>
          <w:sz w:val="32"/>
          <w:szCs w:val="32"/>
          <w:lang w:eastAsia="zh-CN"/>
        </w:rPr>
        <w:t>“</w:t>
      </w:r>
      <w:r>
        <w:rPr>
          <w:rFonts w:hint="default" w:ascii="Times New Roman" w:hAnsi="Times New Roman" w:eastAsia="仿宋_GB2312" w:cs="Times New Roman"/>
          <w:color w:val="auto"/>
          <w:w w:val="95"/>
          <w:sz w:val="32"/>
          <w:szCs w:val="32"/>
        </w:rPr>
        <w:t>十五五</w:t>
      </w:r>
      <w:r>
        <w:rPr>
          <w:rFonts w:hint="eastAsia" w:ascii="Times New Roman" w:hAnsi="Times New Roman" w:eastAsia="仿宋_GB2312" w:cs="Times New Roman"/>
          <w:color w:val="auto"/>
          <w:w w:val="95"/>
          <w:sz w:val="32"/>
          <w:szCs w:val="32"/>
          <w:lang w:eastAsia="zh-CN"/>
        </w:rPr>
        <w:t>”</w:t>
      </w:r>
      <w:r>
        <w:rPr>
          <w:rFonts w:hint="default" w:ascii="Times New Roman" w:hAnsi="Times New Roman" w:eastAsia="仿宋_GB2312" w:cs="Times New Roman"/>
          <w:color w:val="auto"/>
          <w:w w:val="95"/>
          <w:sz w:val="32"/>
          <w:szCs w:val="32"/>
        </w:rPr>
        <w:t>期间金融高质量发展法治保障司法建议研究</w:t>
      </w:r>
    </w:p>
    <w:p w14:paraId="695A9138">
      <w:pPr>
        <w:keepNext w:val="0"/>
        <w:keepLines w:val="0"/>
        <w:pageBreakBefore w:val="0"/>
        <w:widowControl/>
        <w:kinsoku w:val="0"/>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国际赛事视域下体育产业法治保障体系建构研究</w:t>
      </w:r>
    </w:p>
    <w:p w14:paraId="4D83DC08">
      <w:pPr>
        <w:keepNext w:val="0"/>
        <w:keepLines w:val="0"/>
        <w:pageBreakBefore w:val="0"/>
        <w:wordWrap/>
        <w:overflowPunct w:val="0"/>
        <w:topLinePunct w:val="0"/>
        <w:bidi w:val="0"/>
        <w:spacing w:line="261" w:lineRule="auto"/>
        <w:rPr>
          <w:rFonts w:hint="default" w:ascii="Times New Roman" w:hAnsi="Times New Roman" w:cs="Times New Roman"/>
          <w:sz w:val="21"/>
        </w:rPr>
      </w:pPr>
    </w:p>
    <w:p w14:paraId="37CDF9E7">
      <w:pPr>
        <w:keepNext w:val="0"/>
        <w:keepLines w:val="0"/>
        <w:pageBreakBefore w:val="0"/>
        <w:wordWrap/>
        <w:overflowPunct w:val="0"/>
        <w:topLinePunct w:val="0"/>
        <w:bidi w:val="0"/>
        <w:spacing w:line="262" w:lineRule="auto"/>
        <w:rPr>
          <w:rFonts w:hint="default" w:ascii="Times New Roman" w:hAnsi="Times New Roman" w:cs="Times New Roman"/>
          <w:sz w:val="21"/>
        </w:rPr>
      </w:pPr>
    </w:p>
    <w:p w14:paraId="3FA70E41">
      <w:pPr>
        <w:keepNext w:val="0"/>
        <w:keepLines w:val="0"/>
        <w:pageBreakBefore w:val="0"/>
        <w:wordWrap/>
        <w:overflowPunct w:val="0"/>
        <w:topLinePunct w:val="0"/>
        <w:bidi w:val="0"/>
        <w:spacing w:before="100" w:line="230" w:lineRule="auto"/>
        <w:rPr>
          <w:rFonts w:hint="default" w:ascii="Times New Roman" w:hAnsi="Times New Roman" w:eastAsia="黑体" w:cs="Times New Roman"/>
          <w:spacing w:val="24"/>
          <w:sz w:val="31"/>
          <w:szCs w:val="31"/>
        </w:rPr>
      </w:pPr>
    </w:p>
    <w:p w14:paraId="77D23334">
      <w:pPr>
        <w:keepNext w:val="0"/>
        <w:keepLines w:val="0"/>
        <w:pageBreakBefore w:val="0"/>
        <w:wordWrap/>
        <w:overflowPunct w:val="0"/>
        <w:topLinePunct w:val="0"/>
        <w:bidi w:val="0"/>
        <w:spacing w:before="100" w:line="230" w:lineRule="auto"/>
        <w:rPr>
          <w:rFonts w:hint="default" w:ascii="Times New Roman" w:hAnsi="Times New Roman" w:eastAsia="黑体" w:cs="Times New Roman"/>
          <w:spacing w:val="24"/>
          <w:sz w:val="31"/>
          <w:szCs w:val="31"/>
        </w:rPr>
      </w:pPr>
    </w:p>
    <w:p w14:paraId="31B5C098">
      <w:pPr>
        <w:tabs>
          <w:tab w:val="left" w:pos="-540"/>
        </w:tabs>
        <w:snapToGrid w:val="0"/>
        <w:ind w:right="-82" w:rightChars="-39" w:firstLine="640" w:firstLineChars="200"/>
        <w:jc w:val="left"/>
        <w:rPr>
          <w:rFonts w:hint="default" w:ascii="Times New Roman" w:hAnsi="Times New Roman" w:eastAsia="仿宋_GB2312" w:cs="Times New Roman"/>
          <w:sz w:val="32"/>
          <w:szCs w:val="32"/>
        </w:rPr>
      </w:pPr>
      <w:bookmarkStart w:id="0" w:name="_GoBack"/>
      <w:bookmarkEnd w:id="0"/>
    </w:p>
    <w:sectPr>
      <w:headerReference r:id="rId5" w:type="default"/>
      <w:footerReference r:id="rId6" w:type="default"/>
      <w:pgSz w:w="11907" w:h="16840"/>
      <w:pgMar w:top="400" w:right="1418" w:bottom="1441" w:left="1418" w:header="0" w:footer="10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11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40766">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9C40766">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253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6B31C3"/>
    <w:rsid w:val="0083050D"/>
    <w:rsid w:val="016F283F"/>
    <w:rsid w:val="02521916"/>
    <w:rsid w:val="029308E8"/>
    <w:rsid w:val="03217B69"/>
    <w:rsid w:val="03C84489"/>
    <w:rsid w:val="03DB0660"/>
    <w:rsid w:val="05656433"/>
    <w:rsid w:val="06141C07"/>
    <w:rsid w:val="0616597F"/>
    <w:rsid w:val="070954E4"/>
    <w:rsid w:val="07222102"/>
    <w:rsid w:val="07C04A22"/>
    <w:rsid w:val="0854453D"/>
    <w:rsid w:val="09684744"/>
    <w:rsid w:val="0A1B17B6"/>
    <w:rsid w:val="0A805DAC"/>
    <w:rsid w:val="0A854E82"/>
    <w:rsid w:val="0A9A6B7F"/>
    <w:rsid w:val="0AB063A2"/>
    <w:rsid w:val="0AE41BA8"/>
    <w:rsid w:val="0B3A3EBE"/>
    <w:rsid w:val="0C692CAD"/>
    <w:rsid w:val="0C757885"/>
    <w:rsid w:val="0CFD1647"/>
    <w:rsid w:val="0E686F94"/>
    <w:rsid w:val="0E794CFD"/>
    <w:rsid w:val="0E8A515C"/>
    <w:rsid w:val="0EAF071F"/>
    <w:rsid w:val="0EC266A4"/>
    <w:rsid w:val="0F7554C5"/>
    <w:rsid w:val="106612B1"/>
    <w:rsid w:val="10C009C2"/>
    <w:rsid w:val="10E50428"/>
    <w:rsid w:val="112453F4"/>
    <w:rsid w:val="11C26637"/>
    <w:rsid w:val="12004DA6"/>
    <w:rsid w:val="12552003"/>
    <w:rsid w:val="12A32349"/>
    <w:rsid w:val="12D44BF8"/>
    <w:rsid w:val="13086650"/>
    <w:rsid w:val="1319260B"/>
    <w:rsid w:val="141379A2"/>
    <w:rsid w:val="14496F20"/>
    <w:rsid w:val="16585B40"/>
    <w:rsid w:val="1700420E"/>
    <w:rsid w:val="17457E73"/>
    <w:rsid w:val="175D340E"/>
    <w:rsid w:val="17AC7EF2"/>
    <w:rsid w:val="1A2740E1"/>
    <w:rsid w:val="1BAC6712"/>
    <w:rsid w:val="1BCA4DEA"/>
    <w:rsid w:val="1C496590"/>
    <w:rsid w:val="1D04432C"/>
    <w:rsid w:val="1D6B6159"/>
    <w:rsid w:val="1D796AC8"/>
    <w:rsid w:val="1DBE097F"/>
    <w:rsid w:val="1DE657E0"/>
    <w:rsid w:val="1DE859FC"/>
    <w:rsid w:val="1DFD1A8A"/>
    <w:rsid w:val="1EDC07B4"/>
    <w:rsid w:val="1F4D3D68"/>
    <w:rsid w:val="1F6966C8"/>
    <w:rsid w:val="1FC658C9"/>
    <w:rsid w:val="20D64231"/>
    <w:rsid w:val="23733FB9"/>
    <w:rsid w:val="23A93537"/>
    <w:rsid w:val="23E17175"/>
    <w:rsid w:val="249B37C8"/>
    <w:rsid w:val="25861D82"/>
    <w:rsid w:val="25FA62CC"/>
    <w:rsid w:val="26920B34"/>
    <w:rsid w:val="26D27249"/>
    <w:rsid w:val="26FF78CA"/>
    <w:rsid w:val="27481489"/>
    <w:rsid w:val="27A6495D"/>
    <w:rsid w:val="27B8643F"/>
    <w:rsid w:val="281F64BE"/>
    <w:rsid w:val="285C501C"/>
    <w:rsid w:val="28DE741C"/>
    <w:rsid w:val="291B0A33"/>
    <w:rsid w:val="2939535D"/>
    <w:rsid w:val="29E21551"/>
    <w:rsid w:val="2B6C37C8"/>
    <w:rsid w:val="2B7D3C27"/>
    <w:rsid w:val="2CC80ED2"/>
    <w:rsid w:val="2D0B7AA0"/>
    <w:rsid w:val="2D3447B9"/>
    <w:rsid w:val="2DEC3A5D"/>
    <w:rsid w:val="2DF857E7"/>
    <w:rsid w:val="2EAB0AAB"/>
    <w:rsid w:val="2FB03EC7"/>
    <w:rsid w:val="31CD2AE7"/>
    <w:rsid w:val="333A0650"/>
    <w:rsid w:val="341D5FA7"/>
    <w:rsid w:val="342509B8"/>
    <w:rsid w:val="343155AF"/>
    <w:rsid w:val="349B601A"/>
    <w:rsid w:val="34DA5C46"/>
    <w:rsid w:val="35371ACE"/>
    <w:rsid w:val="35B446E9"/>
    <w:rsid w:val="367E6AA5"/>
    <w:rsid w:val="372A62DE"/>
    <w:rsid w:val="373B4B09"/>
    <w:rsid w:val="387B504A"/>
    <w:rsid w:val="38855E54"/>
    <w:rsid w:val="3A0D6176"/>
    <w:rsid w:val="3A3C2EFF"/>
    <w:rsid w:val="3A5C0EAC"/>
    <w:rsid w:val="3AED7D56"/>
    <w:rsid w:val="3B903503"/>
    <w:rsid w:val="3BD056AD"/>
    <w:rsid w:val="3BF53079"/>
    <w:rsid w:val="3D037D04"/>
    <w:rsid w:val="3D9170BE"/>
    <w:rsid w:val="3E03620E"/>
    <w:rsid w:val="3E1675C3"/>
    <w:rsid w:val="3E3E7246"/>
    <w:rsid w:val="3E491D1E"/>
    <w:rsid w:val="3F2B028E"/>
    <w:rsid w:val="3F487C50"/>
    <w:rsid w:val="40550877"/>
    <w:rsid w:val="408B24EB"/>
    <w:rsid w:val="40B82840"/>
    <w:rsid w:val="40C5331A"/>
    <w:rsid w:val="40C81049"/>
    <w:rsid w:val="40EA7211"/>
    <w:rsid w:val="41B82E6B"/>
    <w:rsid w:val="41E9396D"/>
    <w:rsid w:val="43195B8C"/>
    <w:rsid w:val="4362655B"/>
    <w:rsid w:val="443D1D4E"/>
    <w:rsid w:val="459E681C"/>
    <w:rsid w:val="467F21AA"/>
    <w:rsid w:val="46C40504"/>
    <w:rsid w:val="46D573E4"/>
    <w:rsid w:val="47504375"/>
    <w:rsid w:val="484F3DFE"/>
    <w:rsid w:val="489F6B33"/>
    <w:rsid w:val="49C36851"/>
    <w:rsid w:val="4A4C4A99"/>
    <w:rsid w:val="4A5E2A1E"/>
    <w:rsid w:val="4B0233A9"/>
    <w:rsid w:val="4B700C5B"/>
    <w:rsid w:val="4C215AB1"/>
    <w:rsid w:val="4CD11285"/>
    <w:rsid w:val="4D700A9E"/>
    <w:rsid w:val="4D986247"/>
    <w:rsid w:val="4DB7438A"/>
    <w:rsid w:val="4E571C5E"/>
    <w:rsid w:val="4E7B594C"/>
    <w:rsid w:val="4F277882"/>
    <w:rsid w:val="4F336227"/>
    <w:rsid w:val="4F5148FF"/>
    <w:rsid w:val="4FA62E9D"/>
    <w:rsid w:val="4FB37368"/>
    <w:rsid w:val="4FD55530"/>
    <w:rsid w:val="51142088"/>
    <w:rsid w:val="517F7502"/>
    <w:rsid w:val="51DA6E2E"/>
    <w:rsid w:val="52462715"/>
    <w:rsid w:val="524E5317"/>
    <w:rsid w:val="52DD4E28"/>
    <w:rsid w:val="536F4AA8"/>
    <w:rsid w:val="556709D9"/>
    <w:rsid w:val="55986DE4"/>
    <w:rsid w:val="574B7E86"/>
    <w:rsid w:val="59814033"/>
    <w:rsid w:val="5A9A1850"/>
    <w:rsid w:val="5AC8016B"/>
    <w:rsid w:val="5C69772C"/>
    <w:rsid w:val="5C732359"/>
    <w:rsid w:val="5C8956D8"/>
    <w:rsid w:val="5C9127DF"/>
    <w:rsid w:val="5CC42BB4"/>
    <w:rsid w:val="5D92139B"/>
    <w:rsid w:val="5DCA244C"/>
    <w:rsid w:val="5E6261E1"/>
    <w:rsid w:val="5FEB0458"/>
    <w:rsid w:val="60866171"/>
    <w:rsid w:val="60D07D7A"/>
    <w:rsid w:val="60E94998"/>
    <w:rsid w:val="6162474A"/>
    <w:rsid w:val="6271733B"/>
    <w:rsid w:val="639257BA"/>
    <w:rsid w:val="64153CF6"/>
    <w:rsid w:val="64EF4547"/>
    <w:rsid w:val="65085608"/>
    <w:rsid w:val="656E5CED"/>
    <w:rsid w:val="66770C98"/>
    <w:rsid w:val="66A31A8D"/>
    <w:rsid w:val="66EA1469"/>
    <w:rsid w:val="67C24194"/>
    <w:rsid w:val="680B5B3B"/>
    <w:rsid w:val="68C857DA"/>
    <w:rsid w:val="68E73E66"/>
    <w:rsid w:val="6A301889"/>
    <w:rsid w:val="6AD55F8D"/>
    <w:rsid w:val="6B252A70"/>
    <w:rsid w:val="6B7C5DAF"/>
    <w:rsid w:val="6BB87D88"/>
    <w:rsid w:val="6CD1464A"/>
    <w:rsid w:val="6DAF0D17"/>
    <w:rsid w:val="6DAF51BB"/>
    <w:rsid w:val="6DD54C21"/>
    <w:rsid w:val="6DF34CD9"/>
    <w:rsid w:val="6EE36ECA"/>
    <w:rsid w:val="6F35524C"/>
    <w:rsid w:val="6F810491"/>
    <w:rsid w:val="6FD26F3F"/>
    <w:rsid w:val="70D34D1C"/>
    <w:rsid w:val="70D867D7"/>
    <w:rsid w:val="70EB02B8"/>
    <w:rsid w:val="71357785"/>
    <w:rsid w:val="715507FE"/>
    <w:rsid w:val="718F3339"/>
    <w:rsid w:val="726E73F3"/>
    <w:rsid w:val="727D13E4"/>
    <w:rsid w:val="72A03324"/>
    <w:rsid w:val="72FB055A"/>
    <w:rsid w:val="734E2D80"/>
    <w:rsid w:val="738B5D82"/>
    <w:rsid w:val="739A7D73"/>
    <w:rsid w:val="73C80D84"/>
    <w:rsid w:val="73F97190"/>
    <w:rsid w:val="748F3650"/>
    <w:rsid w:val="74B66E2F"/>
    <w:rsid w:val="756E3AE7"/>
    <w:rsid w:val="75F0011F"/>
    <w:rsid w:val="76AA651F"/>
    <w:rsid w:val="76F36118"/>
    <w:rsid w:val="77C27899"/>
    <w:rsid w:val="788F6300"/>
    <w:rsid w:val="78986F77"/>
    <w:rsid w:val="78A7540C"/>
    <w:rsid w:val="78E201F2"/>
    <w:rsid w:val="791F31F5"/>
    <w:rsid w:val="796F62A7"/>
    <w:rsid w:val="79A050D4"/>
    <w:rsid w:val="79B965D2"/>
    <w:rsid w:val="7A523156"/>
    <w:rsid w:val="7B8437E3"/>
    <w:rsid w:val="7BA47E64"/>
    <w:rsid w:val="7BC71922"/>
    <w:rsid w:val="7DC46119"/>
    <w:rsid w:val="7F741DC0"/>
    <w:rsid w:val="7FAC5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1881</Words>
  <Characters>1980</Characters>
  <TotalTime>63</TotalTime>
  <ScaleCrop>false</ScaleCrop>
  <LinksUpToDate>false</LinksUpToDate>
  <CharactersWithSpaces>2246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2024-08-23T17:25:00Z</dcterms:created>
  <dc:creator>法学会研究部503</dc:creator>
  <cp:lastModifiedBy>远方孤雁</cp:lastModifiedBy>
  <cp:lastPrinted>2025-11-28T07:41:00Z</cp:lastPrinted>
  <dcterms:modified xsi:type="dcterms:W3CDTF">2025-11-28T09:53:03Z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2025-11-24T11:12:30Z</vt:filetime>
  </property>
  <property fmtid="{D5CDD505-2E9C-101B-9397-08002B2CF9AE}" pid="4" name="KSOTemplateDocerSaveRecord">
    <vt:lpwstr>eyJoZGlkIjoiNDkxNTU3Yjc1ODgzODA5OWRjYTUxNjA4MTNkYzNhNzIiLCJ1c2VySWQiOiI0MzAwNTk5NzkifQ==</vt:lpwstr>
  </property>
  <property fmtid="{D5CDD505-2E9C-101B-9397-08002B2CF9AE}" pid="5" name="KSOProductBuildVer">
    <vt:lpwstr>2052-12.1.0.23542</vt:lpwstr>
  </property>
  <property fmtid="{D5CDD505-2E9C-101B-9397-08002B2CF9AE}" pid="6" name="ICV">
    <vt:lpwstr>58F139839E9441B9A42B96CA5A58DF74_13</vt:lpwstr>
  </property>
</Properties>
</file>